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675C3D">
        <w:t>21</w:t>
      </w:r>
      <w:r>
        <w:t>.</w:t>
      </w:r>
      <w:r w:rsidR="00162FF9">
        <w:t>02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740B65">
        <w:rPr>
          <w:b/>
          <w:color w:val="auto"/>
          <w:lang w:val="kk-KZ"/>
        </w:rPr>
        <w:t>7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EC3418">
        <w:rPr>
          <w:color w:val="000000" w:themeColor="text1"/>
          <w:lang w:val="en-US"/>
        </w:rPr>
        <w:fldChar w:fldCharType="begin"/>
      </w:r>
      <w:r w:rsidR="00EC3418">
        <w:rPr>
          <w:color w:val="000000" w:themeColor="text1"/>
          <w:lang w:val="en-US"/>
        </w:rPr>
        <w:instrText xml:space="preserve"> HYPERLINK "mailto:goszakup_koksocrb@mail.ru" </w:instrText>
      </w:r>
      <w:r w:rsidR="00EC3418">
        <w:rPr>
          <w:color w:val="000000" w:themeColor="text1"/>
          <w:lang w:val="en-US"/>
        </w:rPr>
        <w:fldChar w:fldCharType="separate"/>
      </w:r>
      <w:r w:rsidR="00EC3418" w:rsidRPr="009579DA">
        <w:rPr>
          <w:rStyle w:val="a4"/>
          <w:lang w:val="en-US"/>
        </w:rPr>
        <w:t>goszakup_koksocrb@mail.ru</w:t>
      </w:r>
      <w:r w:rsidR="00EC3418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162FF9">
        <w:rPr>
          <w:color w:val="000000" w:themeColor="text1"/>
          <w:lang w:val="kk-KZ"/>
        </w:rPr>
        <w:t xml:space="preserve">Медицинских изделий </w:t>
      </w:r>
      <w:r w:rsidR="00EC3418">
        <w:rPr>
          <w:color w:val="000000" w:themeColor="text1"/>
          <w:lang w:val="kk-KZ"/>
        </w:rPr>
        <w:t xml:space="preserve"> на 2023 год»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913"/>
        <w:gridCol w:w="1026"/>
        <w:gridCol w:w="1701"/>
        <w:gridCol w:w="1747"/>
      </w:tblGrid>
      <w:tr w:rsidR="00342046" w:rsidRPr="001A76D2" w:rsidTr="00342046">
        <w:trPr>
          <w:trHeight w:val="6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342046" w:rsidRPr="001A76D2" w:rsidTr="00162FF9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дноразовая тест-карта для определения газов</w:t>
            </w:r>
          </w:p>
          <w:p w:rsidR="00342046" w:rsidRPr="001A76D2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крови, эл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ектролитов и метаболитов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крови </w:t>
            </w: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PK) в комплекте со шприцами с сухим гепарином и ежеквартальным обновлением ПО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Измерительная карта одноразового использования содержат чип биосенсоров, калибровочные растворы и информацию в виде штрих-кода, генерирует электрохимические сигналы и сигналы контроля качества, которые затем считываются измерительной системой анализатора. Одноразовые тест-карты, для определения газов, электролитов и метаболитов крови (GLU &amp; LACT 50T, CREA &amp; CHL 50T) используются совместно предоставляемыми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сэмплерами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комплекте. Параметры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сэмплеров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диагностическое медицинское устройство с колпачком-заглушкой, предназначенные для взятия артериальной или венозной крови для дальнейшего исследования электролитов и метаболитов с помощью анализатора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ерос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Гепаринизированные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шприцы наполнены электролит-сбалансированным гепарином. Объём: 2мл. </w:t>
            </w:r>
            <w:proofErr w:type="gram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Содержит  -</w:t>
            </w:r>
            <w:proofErr w:type="gram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 ME гепарина. Количество в упаковке: 50 шприцов на 50 тест-карт. Фасовка: 1 упаковка измерительных карт с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комплектущими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шприцами (с колпачком-заглушкой). В стоимость тест-карт входит ежеквартальное плановое сервисное обслуживание, диагностика и обновление программного обеспечения.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Гепаринизированные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шприцы для анализа газов крови 2мл, №50.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Описание/назначение: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диагностическое медицинское устройство предназначены для взятия артериальной или венозной крови для исследования газов, рН, электролитов и метаболитов с помощью анализаторов газов крови.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Гепаринизированные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шприцы наполнены электролит-сбалансированным гепарином.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Объём: 2мл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Объём литий-гепарина: </w:t>
            </w:r>
            <w:proofErr w:type="gram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Содержит  -</w:t>
            </w:r>
            <w:proofErr w:type="gram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ME гепарина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Материал: Химический нейтральный пластик с минимальной газопроницаемостью, полностью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интактный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не влияют на результаты исследования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 упаковке: №50 (в 1 упаковке 50 шт.)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Внешний вид: -Шприц снабжен хорошо заметными метками для точного дозирования необходимого объёма крови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-Малый «мертвый» объем шприца (менее 5%) позволяет достичь   высокой точности результатов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-Каждый шприц стерилен и упакован индивидуально.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Разъем: Шприцы имеют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Luer-Slip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-разъем) для стандартной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-иглы или иглы-бабочки.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 хранения: +2°C- + 30 °C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хранения: 36 месяцев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Условия эксплуатация: -Только для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диагностики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Только для одноразового применения - Шприц предназначен только для аспирации.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Утилизация: Стандартная утилизация (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автоклавирование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специальных контейнерах или пакетах)</w:t>
            </w:r>
          </w:p>
          <w:p w:rsidR="00740B65" w:rsidRPr="00740B65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Принадлежности: </w:t>
            </w:r>
            <w:proofErr w:type="gram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комплектацию входят:</w:t>
            </w:r>
          </w:p>
          <w:p w:rsidR="00342046" w:rsidRPr="00162FF9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Колпачок-заглушка зеленого цвета.                                                                                                                                                                                                                                                              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валидации</w:t>
            </w:r>
            <w:proofErr w:type="spellEnd"/>
            <w:r w:rsidRP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740B65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740B65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740B65" w:rsidP="0074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9526B7" w:rsidP="0074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 w:rsid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068</w:t>
            </w: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40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Pr="00952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342046" w:rsidRPr="001A76D2" w:rsidTr="00FB6BBE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776493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342046" w:rsidRDefault="009526B7" w:rsidP="0074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5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5 </w:t>
            </w:r>
            <w:r w:rsidR="00740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068 000</w:t>
            </w:r>
            <w:r w:rsidRPr="009526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1A76D2" w:rsidRDefault="00342046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bookmarkStart w:id="0" w:name="_GoBack"/>
      <w:bookmarkEnd w:id="0"/>
      <w:r w:rsidRPr="00E42E2C">
        <w:rPr>
          <w:b/>
        </w:rPr>
        <w:t>Сроки и условия поставки:</w:t>
      </w:r>
      <w:r>
        <w:rPr>
          <w:b/>
        </w:rPr>
        <w:t xml:space="preserve"> </w:t>
      </w:r>
      <w:r>
        <w:t xml:space="preserve"> </w:t>
      </w:r>
      <w:r w:rsidRPr="00E42E2C">
        <w:t xml:space="preserve">по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>
        <w:rPr>
          <w:rFonts w:eastAsia="Times New Roman"/>
          <w:color w:val="000000" w:themeColor="text1"/>
        </w:rPr>
        <w:t>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lastRenderedPageBreak/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1" w:name="_Hlk83801019"/>
      <w:r w:rsidRPr="006F5846">
        <w:rPr>
          <w:color w:val="auto"/>
        </w:rPr>
        <w:t>«</w:t>
      </w:r>
      <w:proofErr w:type="gramEnd"/>
      <w:r w:rsidR="009526B7">
        <w:rPr>
          <w:color w:val="auto"/>
          <w:lang w:val="kk-KZ"/>
        </w:rPr>
        <w:t>28</w:t>
      </w:r>
      <w:r w:rsidRPr="006F5846">
        <w:rPr>
          <w:color w:val="auto"/>
        </w:rPr>
        <w:t xml:space="preserve">» </w:t>
      </w:r>
      <w:bookmarkEnd w:id="1"/>
      <w:r w:rsidR="002E1BB8">
        <w:rPr>
          <w:color w:val="auto"/>
        </w:rPr>
        <w:t>февраля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9526B7">
        <w:rPr>
          <w:rFonts w:ascii="Times New Roman" w:hAnsi="Times New Roman" w:cs="Times New Roman"/>
          <w:lang w:val="kk-KZ"/>
        </w:rPr>
        <w:t>28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2E1BB8">
        <w:rPr>
          <w:rFonts w:ascii="Times New Roman" w:hAnsi="Times New Roman" w:cs="Times New Roman"/>
        </w:rPr>
        <w:t>февраля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162FF9"/>
    <w:rsid w:val="001A76D2"/>
    <w:rsid w:val="001F2513"/>
    <w:rsid w:val="00224001"/>
    <w:rsid w:val="00262932"/>
    <w:rsid w:val="0026641C"/>
    <w:rsid w:val="002767D6"/>
    <w:rsid w:val="002E1BB8"/>
    <w:rsid w:val="002E5F71"/>
    <w:rsid w:val="002F1B18"/>
    <w:rsid w:val="00342046"/>
    <w:rsid w:val="004A75B7"/>
    <w:rsid w:val="004B1979"/>
    <w:rsid w:val="00510EBD"/>
    <w:rsid w:val="005B2CE8"/>
    <w:rsid w:val="005B3D78"/>
    <w:rsid w:val="00675C3D"/>
    <w:rsid w:val="00677C3C"/>
    <w:rsid w:val="006A25DD"/>
    <w:rsid w:val="006E2756"/>
    <w:rsid w:val="006E4313"/>
    <w:rsid w:val="006F5846"/>
    <w:rsid w:val="006F600E"/>
    <w:rsid w:val="00740B65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526B7"/>
    <w:rsid w:val="00980FB9"/>
    <w:rsid w:val="00995991"/>
    <w:rsid w:val="00A611BC"/>
    <w:rsid w:val="00B34CB1"/>
    <w:rsid w:val="00B9505D"/>
    <w:rsid w:val="00C61C6D"/>
    <w:rsid w:val="00C907E7"/>
    <w:rsid w:val="00CB186D"/>
    <w:rsid w:val="00D21CA8"/>
    <w:rsid w:val="00D72545"/>
    <w:rsid w:val="00EB3BBB"/>
    <w:rsid w:val="00EC3418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28</cp:revision>
  <cp:lastPrinted>2023-02-20T11:26:00Z</cp:lastPrinted>
  <dcterms:created xsi:type="dcterms:W3CDTF">2022-11-30T05:42:00Z</dcterms:created>
  <dcterms:modified xsi:type="dcterms:W3CDTF">2023-02-21T04:09:00Z</dcterms:modified>
</cp:coreProperties>
</file>